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cen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paliwa do ogrzewania domu w wielu wypadkach pochłania dość znaczącą część budżetu. &lt;strong&gt;Wzrost cen węgla&lt;/strong&gt; dla wielu osób może być więc problemem. Tendencja ta pojawiła się już kilka lat temu - i nic nie wskazuje na to, by się zatrzymała.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 węgla</w:t>
      </w:r>
      <w:r>
        <w:rPr>
          <w:rFonts w:ascii="calibri" w:hAnsi="calibri" w:eastAsia="calibri" w:cs="calibri"/>
          <w:sz w:val="24"/>
          <w:szCs w:val="24"/>
        </w:rPr>
        <w:t xml:space="preserve"> składa się wiele aspektów. Ekologia, sytuacja polskiego górnictwa, a także kwestie podatkowe. Suma tych wszystkich czynników powoduje, że klient końcowy płaci często dużo więcej niż kilka lat 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cen węgla - jakość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aspektem, który ma wpływ na cenę węgla, jest jego jakość. Rosnące wymagania w stosunku do urządzeń grzewczych przekładają się na konieczność stosowania lepszego paliwa. A wysokoenergetyczny i mniej zanieczyszczony węgiel kosztuje więcej. Kopalnie, by dostarczyć odpowiedni surowiec muszą się rozwijać, a sytuacja polskiego górnictwa nie jest najlepsza.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na ten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źródłami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wzrostu cen węgla</w:t>
      </w:r>
      <w:r>
        <w:rPr>
          <w:rFonts w:ascii="calibri" w:hAnsi="calibri" w:eastAsia="calibri" w:cs="calibri"/>
          <w:sz w:val="24"/>
          <w:szCs w:val="24"/>
        </w:rPr>
        <w:t xml:space="preserve"> zachęcamy do przeczytania artykułu na ten temat, który pojawił się na naszym blogu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http://kotly-klasy-5.pl/wzrost-cen-wegla-skad-sie-bierze.html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wiedzieć, co składa się na finalny koszt, który co roku ponosimy. Wydajny, nowoczesny kocioł może się okazać inwestycją, która z czasem przyniesie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wzrost-cen-wegla-skad-sie-bie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2025-10-27T13:25:26+01:00</dcterms:created>
  <dcterms:modified xsi:type="dcterms:W3CDTF">2025-10-27T13:25:26+01:00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